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showingPlcHdr/>
          <w:text/>
        </w:sdtPr>
        <w:sdtEndPr/>
        <w:sdtContent>
          <w:r w:rsidR="00320DDD" w:rsidRPr="00320DDD">
            <w:rPr>
              <w:rStyle w:val="PlaceholderText"/>
              <w:color w:val="D9D9D9" w:themeColor="background1" w:themeShade="D9"/>
            </w:rPr>
            <w:t>Click or tap here to enter text.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4709D8" w:rsidRDefault="005735DD" w:rsidP="004709D8">
            <w:pPr>
              <w:rPr>
                <w:rFonts w:ascii="TH SarabunPSK" w:hAnsi="TH SarabunPSK" w:cs="TH SarabunPSK"/>
                <w:b/>
                <w:bCs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Default="00AE08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lastRenderedPageBreak/>
              <w:t>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</w:t>
            </w:r>
            <w:r w:rsidR="00A45926">
              <w:rPr>
                <w:rFonts w:ascii="TH SarabunPSK" w:eastAsia="Calibri" w:hAnsi="TH SarabunPSK" w:cs="TH SarabunPSK" w:hint="cs"/>
                <w:cs/>
              </w:rPr>
              <w:lastRenderedPageBreak/>
              <w:t>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>รายวิชาบังคับให้มีผลลัพธ์การเรียนรู้โดยรวม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 xml:space="preserve">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4F3E5D" w:rsidRPr="00FE55BA" w:rsidRDefault="004F3E5D" w:rsidP="004F3E5D">
      <w:pPr>
        <w:ind w:left="792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4F3E5D" w:rsidRPr="00FE55BA" w:rsidRDefault="004F3E5D" w:rsidP="004F3E5D">
      <w:pPr>
        <w:ind w:left="9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4F3E5D" w:rsidRPr="00FE55BA" w:rsidRDefault="004F3E5D" w:rsidP="004F3E5D">
      <w:pPr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4F3E5D" w:rsidRPr="00FE55BA" w:rsidRDefault="004F3E5D" w:rsidP="004F3E5D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............../................../............</w:t>
      </w:r>
    </w:p>
    <w:p w:rsidR="004F3E5D" w:rsidRPr="00DF0572" w:rsidRDefault="004F3E5D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sectPr w:rsidR="004F3E5D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D6F3B"/>
    <w:rsid w:val="0020513B"/>
    <w:rsid w:val="00246281"/>
    <w:rsid w:val="00287B71"/>
    <w:rsid w:val="00320DDD"/>
    <w:rsid w:val="00333C6F"/>
    <w:rsid w:val="00344633"/>
    <w:rsid w:val="004709D8"/>
    <w:rsid w:val="00481B86"/>
    <w:rsid w:val="004F3E5D"/>
    <w:rsid w:val="005735DD"/>
    <w:rsid w:val="005A7F32"/>
    <w:rsid w:val="005E1F61"/>
    <w:rsid w:val="00677597"/>
    <w:rsid w:val="006E4B3C"/>
    <w:rsid w:val="006F470B"/>
    <w:rsid w:val="00857B2C"/>
    <w:rsid w:val="008A27A9"/>
    <w:rsid w:val="009466CA"/>
    <w:rsid w:val="00975405"/>
    <w:rsid w:val="009D4226"/>
    <w:rsid w:val="009E7181"/>
    <w:rsid w:val="00A45926"/>
    <w:rsid w:val="00A47919"/>
    <w:rsid w:val="00AE086F"/>
    <w:rsid w:val="00C5336F"/>
    <w:rsid w:val="00DF057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2</cp:revision>
  <cp:lastPrinted>2017-09-25T01:48:00Z</cp:lastPrinted>
  <dcterms:created xsi:type="dcterms:W3CDTF">2018-06-24T07:28:00Z</dcterms:created>
  <dcterms:modified xsi:type="dcterms:W3CDTF">2018-06-24T07:28:00Z</dcterms:modified>
</cp:coreProperties>
</file>