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E3AF0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FE3AF0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จุลชีววิทยาและเทคโนโลยีจุลินทรีย์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Pr="00FE3AF0" w:rsidRDefault="00FE3AF0" w:rsidP="005735DD">
            <w:pPr>
              <w:rPr>
                <w:rFonts w:ascii="TH SarabunPSK" w:eastAsiaTheme="minorEastAsia" w:hAnsi="TH SarabunPSK" w:cs="TH SarabunPSK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eastAsia"/>
                <w:lang w:eastAsia="ja-JP"/>
              </w:rPr>
              <w:t xml:space="preserve">1.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สนับสนุนให้นิสิตเข้าร่วมการประชุมวิชาการระดับชาติหรือระดับนานาชาติ</w:t>
            </w: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6F470B" w:rsidRPr="00857B2C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FE3AF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Symbol" w:char="F0D6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FE3AF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Symbol" w:char="F0D6"/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4709D8" w:rsidRDefault="005735DD" w:rsidP="004709D8">
            <w:pPr>
              <w:rPr>
                <w:rFonts w:ascii="TH SarabunPSK" w:hAnsi="TH SarabunPSK" w:cs="TH SarabunPSK"/>
                <w:b/>
                <w:bCs/>
              </w:rPr>
            </w:pP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Default="00AE08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</w:t>
            </w:r>
            <w:r w:rsidRPr="00E84853">
              <w:rPr>
                <w:rFonts w:ascii="TH SarabunPSK" w:eastAsia="Calibri" w:hAnsi="TH SarabunPSK" w:cs="TH SarabunPSK"/>
                <w:cs/>
              </w:rPr>
              <w:lastRenderedPageBreak/>
              <w:t>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Pr="00FE3AF0" w:rsidRDefault="00FE3AF0" w:rsidP="00C5336F">
            <w:pPr>
              <w:rPr>
                <w:rFonts w:ascii="TH SarabunPSK" w:eastAsiaTheme="minorEastAsia" w:hAnsi="TH SarabunPSK" w:cs="TH SarabunPSK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1.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 xml:space="preserve">ปรับปรุงการเรียนการสอนโดยพัฒนาต่อยอดจากความคิดเห็นที่ได้รับในการประเมินจากนิสิตในระบบ </w:t>
            </w:r>
            <w:r>
              <w:rPr>
                <w:rFonts w:ascii="TH SarabunPSK" w:eastAsiaTheme="minorEastAsia" w:hAnsi="TH SarabunPSK" w:cs="TH SarabunPSK" w:hint="eastAsia"/>
                <w:lang w:eastAsia="ja-JP"/>
              </w:rPr>
              <w:t xml:space="preserve">CU-CAS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 xml:space="preserve">ในปีการศึกษาก่อนหน้า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FE3AF0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Symbol" w:char="F0D6"/>
            </w: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052820" w:rsidP="0024628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คณาจารย์ทุกคนเข้าร่วมการประชุมวิชาการและ/หรือการอบรมเพื่อเพิ่มพูนทักษะด้านวิชาการ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052820" w:rsidRDefault="0005282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Symbol" w:char="F0D6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05282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Symbol" w:char="F0D6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05282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Symbol" w:char="F0D6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052820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Symbol" w:char="F0D6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lastRenderedPageBreak/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413B68" w:rsidRDefault="00413B68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413B68" w:rsidRPr="00FE55BA" w:rsidRDefault="00413B68" w:rsidP="00413B68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413B68" w:rsidRPr="00FE55BA" w:rsidRDefault="00413B68" w:rsidP="00413B68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413B68" w:rsidRPr="00FE55BA" w:rsidRDefault="00413B68" w:rsidP="00413B68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413B68" w:rsidRPr="00FE55BA" w:rsidRDefault="00413B68" w:rsidP="00413B68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p w:rsidR="00413B68" w:rsidRPr="00DF0572" w:rsidRDefault="00413B68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413B68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0000000000000000000"/>
    <w:charset w:val="8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52820"/>
    <w:rsid w:val="0020513B"/>
    <w:rsid w:val="00246281"/>
    <w:rsid w:val="00287B71"/>
    <w:rsid w:val="00320DDD"/>
    <w:rsid w:val="00333C6F"/>
    <w:rsid w:val="00344633"/>
    <w:rsid w:val="00413B68"/>
    <w:rsid w:val="004709D8"/>
    <w:rsid w:val="00481B86"/>
    <w:rsid w:val="005735DD"/>
    <w:rsid w:val="005A7F32"/>
    <w:rsid w:val="005E1F61"/>
    <w:rsid w:val="00677597"/>
    <w:rsid w:val="006F470B"/>
    <w:rsid w:val="00857B2C"/>
    <w:rsid w:val="008A27A9"/>
    <w:rsid w:val="009466CA"/>
    <w:rsid w:val="00975405"/>
    <w:rsid w:val="009D4226"/>
    <w:rsid w:val="009E7181"/>
    <w:rsid w:val="00A45926"/>
    <w:rsid w:val="00A47919"/>
    <w:rsid w:val="00AE086F"/>
    <w:rsid w:val="00C5336F"/>
    <w:rsid w:val="00DF0572"/>
    <w:rsid w:val="00F762CA"/>
    <w:rsid w:val="00FE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5</cp:revision>
  <cp:lastPrinted>2017-09-25T01:48:00Z</cp:lastPrinted>
  <dcterms:created xsi:type="dcterms:W3CDTF">2017-09-25T02:09:00Z</dcterms:created>
  <dcterms:modified xsi:type="dcterms:W3CDTF">2018-06-23T12:57:00Z</dcterms:modified>
</cp:coreProperties>
</file>